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BB14D59"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FF68A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FF68A9">
        <w:rPr>
          <w:b/>
          <w:highlight w:val="yellow"/>
        </w:rPr>
        <w:t>:</w:t>
      </w:r>
      <w:r w:rsidRPr="00F65C01">
        <w:rPr>
          <w:b/>
          <w:highlight w:val="yellow"/>
        </w:rPr>
        <w:t xml:space="preserve"> </w:t>
      </w:r>
      <w:r w:rsidR="008B24C9" w:rsidRPr="00F65C01">
        <w:rPr>
          <w:rFonts w:ascii="Verdana" w:hAnsi="Verdana"/>
          <w:highlight w:val="yellow"/>
        </w:rPr>
        <w:t>[DOPLNÍ POSKYTOVATEL]</w:t>
      </w:r>
    </w:p>
    <w:p w14:paraId="6DA3DECE" w14:textId="008AF457" w:rsidR="00721C4A" w:rsidRPr="00A54330" w:rsidRDefault="00721C4A" w:rsidP="00721C4A">
      <w:pPr>
        <w:rPr>
          <w:rFonts w:asciiTheme="majorHAnsi" w:hAnsiTheme="majorHAnsi" w:cs="Times New Roman"/>
          <w:bCs/>
          <w:lang w:eastAsia="cs-CZ"/>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r w:rsidRPr="009F0510">
        <w:t>uccchjm</w:t>
      </w:r>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4005DA26"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227B05F6"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7C4E29" w:rsidRPr="007C4E29">
        <w:rPr>
          <w:rFonts w:eastAsia="Times New Roman" w:cs="Times New Roman"/>
          <w:b/>
          <w:lang w:eastAsia="cs-CZ"/>
        </w:rPr>
        <w:t>Oprava a kalibrace měřicího přístroje TRAX s příslušenstvím pro OŘ PHA</w:t>
      </w:r>
      <w:r w:rsidR="006062F9" w:rsidRPr="006062F9">
        <w:rPr>
          <w:rFonts w:eastAsia="Times New Roman" w:cs="Times New Roman"/>
          <w:lang w:eastAsia="cs-CZ"/>
        </w:rPr>
        <w:t>“, č. j. veřejné zakázky:</w:t>
      </w:r>
      <w:r w:rsidR="007C4E29">
        <w:rPr>
          <w:rFonts w:eastAsia="Times New Roman" w:cs="Times New Roman"/>
          <w:lang w:eastAsia="cs-CZ"/>
        </w:rPr>
        <w:t xml:space="preserve"> </w:t>
      </w:r>
      <w:r w:rsidR="007C4E29" w:rsidRPr="007C4E29">
        <w:rPr>
          <w:rFonts w:eastAsia="Times New Roman" w:cs="Times New Roman"/>
          <w:lang w:eastAsia="cs-CZ"/>
        </w:rPr>
        <w:t>34571/2025-SŽ-OŘ PHA-OVZ</w:t>
      </w:r>
      <w:r w:rsidR="007C4E29">
        <w:rPr>
          <w:rFonts w:eastAsia="Times New Roman" w:cs="Times New Roman"/>
          <w:lang w:eastAsia="cs-CZ"/>
        </w:rPr>
        <w:t xml:space="preserve"> </w:t>
      </w:r>
      <w:r w:rsidR="006062F9" w:rsidRPr="006062F9">
        <w:rPr>
          <w:rFonts w:eastAsia="Times New Roman" w:cs="Times New Roman"/>
          <w:lang w:eastAsia="cs-CZ"/>
        </w:rPr>
        <w:t>(dále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xml:space="preserve">, poskytnutí všech Souvisejících plnění a předání </w:t>
      </w:r>
      <w:r w:rsidR="004E1498" w:rsidRPr="006062F9">
        <w:lastRenderedPageBreak/>
        <w:t>Dokladů.</w:t>
      </w:r>
    </w:p>
    <w:p w14:paraId="4E17D918" w14:textId="1C4F73AC" w:rsidR="004E1498" w:rsidRPr="00322C79" w:rsidRDefault="004E7B39" w:rsidP="00A318B6">
      <w:pPr>
        <w:pStyle w:val="Nadpis1"/>
        <w:widowControl w:val="0"/>
        <w:suppressAutoHyphens w:val="0"/>
        <w:spacing w:line="276" w:lineRule="auto"/>
        <w:jc w:val="both"/>
        <w:rPr>
          <w:rFonts w:eastAsia="Times New Roman"/>
          <w:lang w:eastAsia="cs-CZ"/>
        </w:rPr>
      </w:pPr>
      <w:r w:rsidRPr="00322C79">
        <w:rPr>
          <w:rFonts w:eastAsia="Times New Roman"/>
          <w:lang w:eastAsia="cs-CZ"/>
        </w:rPr>
        <w:t>Předmět služeb</w:t>
      </w:r>
    </w:p>
    <w:p w14:paraId="7A803E99" w14:textId="77777777" w:rsidR="00322C79" w:rsidRDefault="004E1498" w:rsidP="00322C79">
      <w:pPr>
        <w:tabs>
          <w:tab w:val="left" w:pos="1418"/>
        </w:tabs>
        <w:spacing w:before="60" w:after="120"/>
        <w:ind w:right="765"/>
        <w:rPr>
          <w:rFonts w:cs="Arial"/>
        </w:rPr>
      </w:pPr>
      <w:r w:rsidRPr="00322C79">
        <w:t xml:space="preserve">Předmětem </w:t>
      </w:r>
      <w:r w:rsidR="00E73DA0" w:rsidRPr="00322C79">
        <w:t>služeb</w:t>
      </w:r>
      <w:r w:rsidRPr="00322C79">
        <w:t xml:space="preserve"> je </w:t>
      </w:r>
      <w:bookmarkStart w:id="1" w:name="_Hlk205471784"/>
      <w:r w:rsidR="00322C79" w:rsidRPr="00322C79">
        <w:rPr>
          <w:rFonts w:cs="Arial"/>
        </w:rPr>
        <w:t>oprava a kalibrace</w:t>
      </w:r>
      <w:r w:rsidR="00322C79">
        <w:rPr>
          <w:rFonts w:cs="Arial"/>
        </w:rPr>
        <w:t xml:space="preserve"> měřících přístrojů:</w:t>
      </w:r>
    </w:p>
    <w:p w14:paraId="24EE7BBB" w14:textId="77777777" w:rsidR="00322C79" w:rsidRDefault="00322C79" w:rsidP="00322C79">
      <w:pPr>
        <w:pStyle w:val="Odstavecseseznamem"/>
        <w:numPr>
          <w:ilvl w:val="0"/>
          <w:numId w:val="13"/>
        </w:numPr>
        <w:tabs>
          <w:tab w:val="left" w:pos="1418"/>
        </w:tabs>
        <w:spacing w:before="60" w:after="60"/>
        <w:ind w:left="714" w:right="765" w:hanging="357"/>
        <w:rPr>
          <w:rFonts w:cs="Arial"/>
        </w:rPr>
      </w:pPr>
      <w:r>
        <w:rPr>
          <w:rFonts w:cs="Arial"/>
        </w:rPr>
        <w:t>základní přístroj diagnostiky transformátorů Megger TRAX 280</w:t>
      </w:r>
    </w:p>
    <w:p w14:paraId="6C0D6A0E" w14:textId="77777777" w:rsidR="00322C79" w:rsidRDefault="00322C79" w:rsidP="00322C79">
      <w:pPr>
        <w:pStyle w:val="Odstavecseseznamem"/>
        <w:numPr>
          <w:ilvl w:val="0"/>
          <w:numId w:val="13"/>
        </w:numPr>
        <w:tabs>
          <w:tab w:val="left" w:pos="1418"/>
        </w:tabs>
        <w:spacing w:before="60" w:after="60"/>
        <w:ind w:left="714" w:right="765" w:hanging="357"/>
        <w:rPr>
          <w:rFonts w:cs="Arial"/>
        </w:rPr>
      </w:pPr>
      <w:r>
        <w:rPr>
          <w:rFonts w:cs="Arial"/>
        </w:rPr>
        <w:t>jednotka měření ztrátového činitele tanD Megger TDX 120</w:t>
      </w:r>
    </w:p>
    <w:p w14:paraId="59AA92F8" w14:textId="77777777" w:rsidR="00322C79" w:rsidRDefault="00322C79" w:rsidP="00322C79">
      <w:pPr>
        <w:pStyle w:val="Odstavecseseznamem"/>
        <w:numPr>
          <w:ilvl w:val="0"/>
          <w:numId w:val="13"/>
        </w:numPr>
        <w:tabs>
          <w:tab w:val="left" w:pos="1418"/>
        </w:tabs>
        <w:spacing w:before="60" w:after="60"/>
        <w:ind w:left="714" w:right="765" w:hanging="357"/>
        <w:rPr>
          <w:rFonts w:cs="Arial"/>
        </w:rPr>
      </w:pPr>
      <w:r>
        <w:rPr>
          <w:rFonts w:cs="Arial"/>
        </w:rPr>
        <w:t>proudový zdroj Megger TCX 200</w:t>
      </w:r>
    </w:p>
    <w:p w14:paraId="7FD525E8" w14:textId="77777777" w:rsidR="00322C79" w:rsidRDefault="00322C79" w:rsidP="00322C79">
      <w:pPr>
        <w:pStyle w:val="Odstavecseseznamem"/>
        <w:numPr>
          <w:ilvl w:val="0"/>
          <w:numId w:val="13"/>
        </w:numPr>
        <w:tabs>
          <w:tab w:val="left" w:pos="1418"/>
        </w:tabs>
        <w:spacing w:before="60" w:after="0"/>
        <w:ind w:left="714" w:right="765" w:hanging="357"/>
        <w:contextualSpacing w:val="0"/>
        <w:rPr>
          <w:rFonts w:cs="Arial"/>
        </w:rPr>
      </w:pPr>
      <w:r>
        <w:rPr>
          <w:rFonts w:cs="Arial"/>
        </w:rPr>
        <w:t>ruční switchbox Megger TSX 300</w:t>
      </w:r>
    </w:p>
    <w:p w14:paraId="03F039C6" w14:textId="2AC67F1F" w:rsidR="004E1498" w:rsidRDefault="00322C79" w:rsidP="00322C79">
      <w:pPr>
        <w:pStyle w:val="Nadpis2"/>
        <w:widowControl w:val="0"/>
        <w:numPr>
          <w:ilvl w:val="0"/>
          <w:numId w:val="13"/>
        </w:numPr>
        <w:spacing w:line="276" w:lineRule="auto"/>
      </w:pPr>
      <w:r w:rsidRPr="00322C79">
        <w:rPr>
          <w:rFonts w:eastAsiaTheme="minorHAnsi" w:cs="Arial"/>
          <w:lang w:eastAsia="en-US"/>
        </w:rPr>
        <w:t>automatický switchbox TSX</w:t>
      </w:r>
      <w:r>
        <w:rPr>
          <w:rFonts w:cs="Arial"/>
        </w:rPr>
        <w:t xml:space="preserve"> 303</w:t>
      </w:r>
      <w:bookmarkEnd w:id="1"/>
      <w:r w:rsidR="00B75DAD">
        <w:t xml:space="preserve"> </w:t>
      </w:r>
    </w:p>
    <w:p w14:paraId="018C895A" w14:textId="7F137FC3" w:rsidR="00322C79" w:rsidRPr="00023486" w:rsidRDefault="00322C79" w:rsidP="00023486">
      <w:pPr>
        <w:spacing w:before="120" w:after="0"/>
        <w:rPr>
          <w:u w:val="single"/>
          <w:lang w:eastAsia="cs-CZ"/>
        </w:rPr>
      </w:pPr>
      <w:r w:rsidRPr="00023486">
        <w:rPr>
          <w:u w:val="single"/>
          <w:lang w:eastAsia="cs-CZ"/>
        </w:rPr>
        <w:t>Charakteristický popis prací:</w:t>
      </w:r>
    </w:p>
    <w:p w14:paraId="6EFF1D7C" w14:textId="77777777" w:rsidR="00023486" w:rsidRDefault="00023486" w:rsidP="00023486">
      <w:r w:rsidRPr="00764B80">
        <w:rPr>
          <w:rFonts w:cs="Arial"/>
          <w:noProof/>
        </w:rPr>
        <w:t>Oprava závady v systému chlazení měřicího přístroje, komplexní přezkoušení všech funkcí systému a kalibrace včetně vyhotovení kalibračního protokolu.</w:t>
      </w:r>
      <w:r w:rsidRPr="00E11999">
        <w:rPr>
          <w:rFonts w:cs="Arial"/>
          <w:noProof/>
        </w:rPr>
        <w:t>Přeprava měřicího přístroje s příslušenstvím do servisního střediska a zpět bude na náklady dodavatele.</w:t>
      </w:r>
      <w:r w:rsidRPr="00023486">
        <w:t xml:space="preserve"> </w:t>
      </w:r>
    </w:p>
    <w:p w14:paraId="31E5226B" w14:textId="47F40888" w:rsidR="004E1498" w:rsidRPr="00023486" w:rsidRDefault="00023486" w:rsidP="00023486">
      <w:pPr>
        <w:rPr>
          <w:lang w:eastAsia="cs-CZ"/>
        </w:rPr>
      </w:pPr>
      <w:r w:rsidRPr="006062F9">
        <w:t>(dále jen „</w:t>
      </w:r>
      <w:r>
        <w:rPr>
          <w:b/>
        </w:rPr>
        <w:t>Dílo, Předmět služeb</w:t>
      </w:r>
      <w:r w:rsidRPr="006062F9">
        <w:t>“)</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5D0C679" w14:textId="3EB3D472" w:rsidR="009945D6" w:rsidRPr="00B12F7F" w:rsidRDefault="009945D6" w:rsidP="00A318B6">
      <w:pPr>
        <w:pStyle w:val="Nadpis2"/>
        <w:spacing w:line="276" w:lineRule="auto"/>
        <w:rPr>
          <w:rFonts w:eastAsia="Verdana"/>
          <w:noProof/>
          <w:highlight w:val="yellow"/>
        </w:rPr>
      </w:pPr>
      <w:r w:rsidRPr="00B12F7F">
        <w:rPr>
          <w:rFonts w:eastAsia="Verdana"/>
          <w:noProof/>
          <w:highlight w:val="yellow"/>
        </w:rPr>
        <w:t xml:space="preserve">Cena </w:t>
      </w:r>
      <w:r w:rsidR="00721C4A" w:rsidRPr="00B12F7F">
        <w:rPr>
          <w:rFonts w:eastAsia="Verdana"/>
          <w:noProof/>
          <w:highlight w:val="yellow"/>
        </w:rPr>
        <w:t>za předmět služeb činí:</w:t>
      </w:r>
      <w:r w:rsidRPr="00B12F7F">
        <w:rPr>
          <w:rFonts w:eastAsia="Verdana"/>
          <w:noProof/>
          <w:highlight w:val="yellow"/>
        </w:rPr>
        <w:t xml:space="preserve"> </w:t>
      </w:r>
    </w:p>
    <w:p w14:paraId="455AE6B9" w14:textId="77777777" w:rsidR="009945D6" w:rsidRPr="00B12F7F" w:rsidRDefault="009945D6" w:rsidP="00A318B6">
      <w:pPr>
        <w:pStyle w:val="Odstavecseseznamem"/>
        <w:tabs>
          <w:tab w:val="left" w:pos="5670"/>
        </w:tabs>
        <w:spacing w:after="0" w:line="276" w:lineRule="auto"/>
        <w:ind w:left="1004"/>
        <w:contextualSpacing w:val="0"/>
        <w:rPr>
          <w:highlight w:val="yellow"/>
        </w:rPr>
      </w:pPr>
      <w:r w:rsidRPr="00B12F7F">
        <w:rPr>
          <w:highlight w:val="yellow"/>
        </w:rPr>
        <w:t>Cena bez DPH:</w:t>
      </w:r>
      <w:r w:rsidRPr="00B12F7F">
        <w:rPr>
          <w:highlight w:val="yellow"/>
        </w:rPr>
        <w:tab/>
        <w:t>Kč</w:t>
      </w:r>
    </w:p>
    <w:p w14:paraId="4B522E15" w14:textId="77777777" w:rsidR="009945D6" w:rsidRPr="00B12F7F" w:rsidRDefault="009945D6" w:rsidP="00A318B6">
      <w:pPr>
        <w:pStyle w:val="Odstavecseseznamem"/>
        <w:tabs>
          <w:tab w:val="left" w:pos="5670"/>
        </w:tabs>
        <w:spacing w:after="0" w:line="276" w:lineRule="auto"/>
        <w:ind w:left="1004"/>
        <w:contextualSpacing w:val="0"/>
        <w:rPr>
          <w:highlight w:val="yellow"/>
        </w:rPr>
      </w:pPr>
      <w:r w:rsidRPr="00B12F7F">
        <w:rPr>
          <w:highlight w:val="yellow"/>
        </w:rPr>
        <w:t>DPH:</w:t>
      </w:r>
      <w:r w:rsidRPr="00B12F7F">
        <w:rPr>
          <w:highlight w:val="yellow"/>
        </w:rPr>
        <w:tab/>
        <w:t>Kč</w:t>
      </w:r>
    </w:p>
    <w:p w14:paraId="2ABEC488" w14:textId="77777777" w:rsidR="009945D6" w:rsidRPr="00B12F7F" w:rsidRDefault="009945D6" w:rsidP="00A318B6">
      <w:pPr>
        <w:pStyle w:val="Odstavecseseznamem"/>
        <w:tabs>
          <w:tab w:val="left" w:pos="5670"/>
        </w:tabs>
        <w:spacing w:after="0" w:line="276" w:lineRule="auto"/>
        <w:ind w:left="1004"/>
        <w:contextualSpacing w:val="0"/>
        <w:rPr>
          <w:highlight w:val="yellow"/>
        </w:rPr>
      </w:pPr>
      <w:r w:rsidRPr="00B12F7F">
        <w:rPr>
          <w:highlight w:val="yellow"/>
        </w:rPr>
        <w:t>Cena s DPH:</w:t>
      </w:r>
      <w:r w:rsidRPr="00B12F7F">
        <w:rPr>
          <w:highlight w:val="yellow"/>
        </w:rPr>
        <w:tab/>
        <w:t>Kč</w:t>
      </w:r>
    </w:p>
    <w:p w14:paraId="73865445" w14:textId="77777777" w:rsidR="009945D6" w:rsidRPr="00B12F7F" w:rsidRDefault="009945D6" w:rsidP="00A318B6">
      <w:pPr>
        <w:pStyle w:val="Odstavecseseznamem"/>
        <w:tabs>
          <w:tab w:val="left" w:pos="5670"/>
        </w:tabs>
        <w:spacing w:after="0" w:line="276" w:lineRule="auto"/>
        <w:ind w:left="1004"/>
        <w:contextualSpacing w:val="0"/>
        <w:rPr>
          <w:highlight w:val="yellow"/>
        </w:rPr>
      </w:pPr>
    </w:p>
    <w:p w14:paraId="035BC41F" w14:textId="77777777" w:rsidR="009945D6" w:rsidRPr="00B12F7F" w:rsidRDefault="009945D6" w:rsidP="00A318B6">
      <w:pPr>
        <w:pStyle w:val="Odstavecseseznamem"/>
        <w:tabs>
          <w:tab w:val="left" w:pos="5670"/>
        </w:tabs>
        <w:spacing w:line="276" w:lineRule="auto"/>
        <w:ind w:left="1004"/>
        <w:contextualSpacing w:val="0"/>
        <w:rPr>
          <w:highlight w:val="yellow"/>
        </w:rPr>
      </w:pPr>
      <w:r w:rsidRPr="00B12F7F">
        <w:rPr>
          <w:highlight w:val="yellow"/>
        </w:rPr>
        <w:t xml:space="preserve">Cena za dílo bez DPH slovy:  </w:t>
      </w:r>
      <w:r w:rsidRPr="00B12F7F">
        <w:rPr>
          <w:highlight w:val="yellow"/>
        </w:rPr>
        <w:tab/>
        <w:t>Kč</w:t>
      </w:r>
    </w:p>
    <w:p w14:paraId="23A2FF24" w14:textId="77777777" w:rsidR="006062F9" w:rsidRPr="006062F9" w:rsidRDefault="006062F9" w:rsidP="00A318B6">
      <w:pPr>
        <w:pStyle w:val="Nadpis1"/>
        <w:spacing w:line="276" w:lineRule="auto"/>
      </w:pPr>
      <w:r w:rsidRPr="006062F9">
        <w:t xml:space="preserve">Fakturace </w:t>
      </w:r>
    </w:p>
    <w:p w14:paraId="0993D276" w14:textId="7F2DC764" w:rsidR="00AA6E01" w:rsidRPr="00994BEA" w:rsidRDefault="00AA6E01" w:rsidP="00752A6A">
      <w:pPr>
        <w:pStyle w:val="Nadpis2"/>
        <w:spacing w:line="276" w:lineRule="auto"/>
        <w:ind w:left="578" w:hanging="578"/>
        <w:rPr>
          <w:rFonts w:eastAsia="Verdana"/>
          <w:noProof/>
        </w:rPr>
      </w:pPr>
      <w:r>
        <w:rPr>
          <w:rFonts w:eastAsia="Verdana"/>
          <w:noProof/>
        </w:rPr>
        <w:t xml:space="preserve">Fakturace bude probíhat na základě </w:t>
      </w:r>
      <w:r w:rsidR="003C5291">
        <w:rPr>
          <w:rFonts w:eastAsia="Verdana"/>
          <w:noProof/>
        </w:rPr>
        <w:t>poskytovatelem</w:t>
      </w:r>
      <w:r>
        <w:rPr>
          <w:rFonts w:eastAsia="Verdana"/>
          <w:noProof/>
        </w:rPr>
        <w:t xml:space="preserve"> vystaveného daňového dokladu (faktura s náležitostí daňového dokladu), který bude vyst</w:t>
      </w:r>
      <w:r w:rsidR="003C5291">
        <w:rPr>
          <w:rFonts w:eastAsia="Verdana"/>
          <w:noProof/>
        </w:rPr>
        <w:t xml:space="preserve">aven </w:t>
      </w:r>
      <w:r w:rsidR="003C5291" w:rsidRPr="00994BEA">
        <w:rPr>
          <w:rFonts w:eastAsia="Verdana"/>
          <w:noProof/>
        </w:rPr>
        <w:t>po poskytnutí služby</w:t>
      </w:r>
      <w:r w:rsidRPr="00994BEA">
        <w:rPr>
          <w:rFonts w:eastAsia="Verdana"/>
          <w:noProof/>
        </w:rPr>
        <w:t>. Faktura bude vystavena do 15 dní od předání díla a doručena na fakturační adresu objednatele. Součástí faktury bude příloha soupisu provedených prací a dodaného materiálu</w:t>
      </w:r>
      <w:r w:rsidR="00CE6A86" w:rsidRPr="00994BEA">
        <w:rPr>
          <w:rFonts w:eastAsia="Verdana"/>
          <w:noProof/>
        </w:rPr>
        <w:t>.</w:t>
      </w:r>
      <w:r w:rsidRPr="00994BEA">
        <w:rPr>
          <w:rFonts w:eastAsia="Verdana"/>
          <w:noProof/>
        </w:rPr>
        <w:t xml:space="preserve"> </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0EC7C304" w14:textId="17F00BF5" w:rsidR="00F560BC" w:rsidRDefault="00F560BC" w:rsidP="00F560BC">
      <w:pPr>
        <w:pStyle w:val="Nadpis2"/>
        <w:widowControl w:val="0"/>
        <w:spacing w:line="276" w:lineRule="auto"/>
      </w:pPr>
      <w:r w:rsidRPr="006062F9">
        <w:t xml:space="preserve">Místem plnění je </w:t>
      </w:r>
      <w:r>
        <w:t xml:space="preserve">servisní středisko poskytovatele na adrese: </w:t>
      </w:r>
      <w:r w:rsidRPr="0011386E">
        <w:rPr>
          <w:highlight w:val="yellow"/>
        </w:rPr>
        <w:t>……………………………………………</w:t>
      </w:r>
    </w:p>
    <w:p w14:paraId="437EADE8" w14:textId="77777777" w:rsidR="00F560BC" w:rsidRPr="00F560BC" w:rsidRDefault="00F560BC" w:rsidP="00F560BC">
      <w:pPr>
        <w:pStyle w:val="Nadpis2"/>
        <w:widowControl w:val="0"/>
        <w:spacing w:line="276" w:lineRule="auto"/>
        <w:rPr>
          <w:rFonts w:ascii="Verdana" w:eastAsia="Verdana" w:hAnsi="Verdana"/>
          <w:noProof/>
        </w:rPr>
      </w:pPr>
      <w:r w:rsidRPr="008F3EC4">
        <w:rPr>
          <w:rFonts w:ascii="Verdana" w:eastAsia="Verdana" w:hAnsi="Verdana"/>
          <w:noProof/>
        </w:rPr>
        <w:t>Poskytovatel se zavazuje provést předmět služeb podle této smlouvy řádným ukončením a předáním objednateli v termínu:</w:t>
      </w:r>
    </w:p>
    <w:p w14:paraId="57284F76" w14:textId="77777777" w:rsidR="00F560BC" w:rsidRDefault="00F560BC" w:rsidP="00F560BC">
      <w:pPr>
        <w:pStyle w:val="Odstavecseseznamem"/>
        <w:spacing w:before="120" w:line="276" w:lineRule="auto"/>
        <w:ind w:left="2835" w:hanging="1831"/>
        <w:rPr>
          <w:b/>
        </w:rPr>
      </w:pPr>
      <w:r w:rsidRPr="002E3482">
        <w:t xml:space="preserve">Zahájení prací: </w:t>
      </w:r>
      <w:r w:rsidRPr="002E3482">
        <w:rPr>
          <w:b/>
        </w:rPr>
        <w:t>uveřejněním smlouvy v registru smluv</w:t>
      </w:r>
    </w:p>
    <w:p w14:paraId="283520E3" w14:textId="719AB540" w:rsidR="00F560BC" w:rsidRPr="00F560BC" w:rsidRDefault="00F560BC" w:rsidP="00F560BC">
      <w:pPr>
        <w:pStyle w:val="Odstavecseseznamem"/>
        <w:spacing w:before="120" w:after="120" w:line="276" w:lineRule="auto"/>
        <w:ind w:left="2835" w:hanging="1831"/>
        <w:contextualSpacing w:val="0"/>
        <w:rPr>
          <w:b/>
        </w:rPr>
      </w:pPr>
      <w:r w:rsidRPr="002E3482">
        <w:t>Ukončení prací:</w:t>
      </w:r>
      <w:r w:rsidRPr="002E3482">
        <w:rPr>
          <w:b/>
        </w:rPr>
        <w:t xml:space="preserve"> do</w:t>
      </w:r>
      <w:r>
        <w:rPr>
          <w:b/>
        </w:rPr>
        <w:t xml:space="preserve"> 2 měsíců od uveřejnění smlouvy v registru smluv</w:t>
      </w:r>
    </w:p>
    <w:p w14:paraId="4A4F2A80" w14:textId="7A92BF4E" w:rsidR="00F560BC" w:rsidRPr="00F560BC" w:rsidRDefault="00F560BC" w:rsidP="00F560BC">
      <w:pPr>
        <w:pStyle w:val="Nadpis2"/>
        <w:widowControl w:val="0"/>
        <w:spacing w:line="276" w:lineRule="auto"/>
        <w:ind w:left="567"/>
        <w:rPr>
          <w:bCs/>
        </w:rPr>
      </w:pPr>
      <w:r w:rsidRPr="00F560BC">
        <w:rPr>
          <w:rFonts w:ascii="Verdana" w:eastAsia="Verdana" w:hAnsi="Verdana"/>
          <w:noProof/>
        </w:rPr>
        <w:t xml:space="preserve">Poskytovatel na provedené dílo poskytne záruku </w:t>
      </w:r>
      <w:r w:rsidRPr="00F560BC">
        <w:rPr>
          <w:rFonts w:ascii="Verdana" w:eastAsia="Verdana" w:hAnsi="Verdana"/>
          <w:noProof/>
        </w:rPr>
        <w:t xml:space="preserve">v délce 24 měsíců </w:t>
      </w:r>
      <w:r w:rsidRPr="00F560BC">
        <w:rPr>
          <w:rFonts w:ascii="Verdana" w:eastAsia="Verdana" w:hAnsi="Verdana"/>
          <w:noProof/>
        </w:rPr>
        <w:t>na kalibraci a</w:t>
      </w:r>
      <w:r w:rsidRPr="00F560BC">
        <w:rPr>
          <w:rFonts w:ascii="Verdana" w:eastAsia="Verdana" w:hAnsi="Verdana"/>
          <w:noProof/>
        </w:rPr>
        <w:t xml:space="preserve"> 6 měsíců</w:t>
      </w:r>
      <w:r w:rsidRPr="00F560BC">
        <w:rPr>
          <w:rFonts w:ascii="Verdana" w:eastAsia="Verdana" w:hAnsi="Verdana"/>
          <w:noProof/>
        </w:rPr>
        <w:t xml:space="preserve"> na provedené opravy.</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55D3C44F"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127FAB">
        <w:t>příloze č</w:t>
      </w:r>
      <w:r w:rsidR="00127FAB" w:rsidRPr="00127FAB">
        <w:t>. 2</w:t>
      </w:r>
      <w:r>
        <w:t xml:space="preserve"> této S</w:t>
      </w:r>
      <w:r w:rsidRPr="004E1498">
        <w:t xml:space="preserve">mlouvy. </w:t>
      </w:r>
    </w:p>
    <w:p w14:paraId="7D9F0963" w14:textId="71AFB336" w:rsidR="00B66E16" w:rsidRPr="00127FAB" w:rsidRDefault="00127FAB" w:rsidP="00127FAB">
      <w:pPr>
        <w:widowControl w:val="0"/>
        <w:spacing w:after="0" w:line="276" w:lineRule="auto"/>
        <w:ind w:left="567"/>
        <w:contextualSpacing/>
        <w:jc w:val="both"/>
      </w:pPr>
      <w:r>
        <w:rPr>
          <w:rFonts w:eastAsia="Times New Roman" w:cs="Times New Roman"/>
          <w:highlight w:val="yellow"/>
          <w:lang w:eastAsia="cs-CZ"/>
        </w:rPr>
        <w:t>(V případě využití poddodavatelů dodavatel v seznamu příloh ponechá u přílohy č. 2 pouze text „Seznam poddodavatelů“. Jestliže se na provedení Služeb nebudou podílet poddodavatelé, dodavatel do bodu 6.1 napíše: „Na provedení Služeb se nebudou podílet poddodavatelé a v seznamu příloh ponechá u přílohy č. 2 pouze text „Neobsazeno“.</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w:t>
      </w:r>
      <w:r w:rsidR="004E1498" w:rsidRPr="00701C1B">
        <w:lastRenderedPageBreak/>
        <w:t xml:space="preserve">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DD46C0">
      <w:pPr>
        <w:pStyle w:val="Nadpis2"/>
        <w:widowControl w:val="0"/>
        <w:spacing w:after="120" w:line="276" w:lineRule="auto"/>
        <w:ind w:left="578" w:hanging="578"/>
        <w:contextualSpacing w:val="0"/>
      </w:pPr>
      <w:r w:rsidRPr="008B24C9">
        <w:t>Kontaktními osobami smluvních stran jsou</w:t>
      </w:r>
    </w:p>
    <w:p w14:paraId="4E7FEA6D" w14:textId="527267D5" w:rsidR="004E1498" w:rsidRPr="00321172" w:rsidRDefault="004E1498" w:rsidP="00127FAB">
      <w:pPr>
        <w:pStyle w:val="Nadpis3"/>
        <w:widowControl w:val="0"/>
        <w:spacing w:after="60"/>
        <w:contextualSpacing w:val="0"/>
        <w:jc w:val="left"/>
      </w:pPr>
      <w:r w:rsidRPr="00321172">
        <w:t xml:space="preserve">za Objednatele </w:t>
      </w:r>
      <w:r w:rsidR="00127FAB" w:rsidRPr="00321172">
        <w:t>p.</w:t>
      </w:r>
      <w:r w:rsidR="00127FAB">
        <w:t xml:space="preserve"> </w:t>
      </w:r>
      <w:r w:rsidR="00127FAB" w:rsidRPr="00AB51A3">
        <w:rPr>
          <w:rFonts w:cs="Arial"/>
        </w:rPr>
        <w:t>Lukáš Tichý DiS</w:t>
      </w:r>
      <w:r w:rsidR="00127FAB">
        <w:rPr>
          <w:rFonts w:cs="Arial"/>
        </w:rPr>
        <w:t>.</w:t>
      </w:r>
      <w:r w:rsidR="00127FAB" w:rsidRPr="00321172">
        <w:t xml:space="preserve">, tel. </w:t>
      </w:r>
      <w:r w:rsidR="00127FAB" w:rsidRPr="00BC2B10">
        <w:t>+420 724 052 873</w:t>
      </w:r>
      <w:r w:rsidR="00127FAB" w:rsidRPr="00321172">
        <w:t xml:space="preserve">, </w:t>
      </w:r>
      <w:r w:rsidR="009D651A">
        <w:br/>
      </w:r>
      <w:r w:rsidR="00127FAB" w:rsidRPr="00321172">
        <w:t>email</w:t>
      </w:r>
      <w:r w:rsidR="00127FAB">
        <w:t>:</w:t>
      </w:r>
      <w:r w:rsidR="00127FAB" w:rsidRPr="00321172">
        <w:t xml:space="preserve"> </w:t>
      </w:r>
      <w:hyperlink r:id="rId11" w:history="1">
        <w:r w:rsidR="00127FAB" w:rsidRPr="0018547E">
          <w:rPr>
            <w:rStyle w:val="Hypertextovodkaz"/>
          </w:rPr>
          <w:t>TichyL@spravazeleznic.cz</w:t>
        </w:r>
      </w:hyperlink>
      <w:r w:rsidR="00127FAB">
        <w:t>,</w:t>
      </w:r>
    </w:p>
    <w:p w14:paraId="1C513CD4" w14:textId="098B2925" w:rsidR="004E1498" w:rsidRDefault="004E1498" w:rsidP="00DD46C0">
      <w:pPr>
        <w:pStyle w:val="Nadpis3"/>
        <w:widowControl w:val="0"/>
        <w:spacing w:after="120"/>
        <w:contextualSpacing w:val="0"/>
        <w:jc w:val="left"/>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ust. § 2 odst. 1 písm. c) zákona č. 159/2006 Sb., o střetu zájmů, ve znění pozdějších předpisů (dále jen „</w:t>
      </w:r>
      <w:r w:rsidRPr="00A54330">
        <w:rPr>
          <w:rStyle w:val="Kurzvatun"/>
          <w:b w:val="0"/>
          <w:i w:val="0"/>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427BFC0" w:rsidR="00721C4A" w:rsidRPr="003B16F0" w:rsidRDefault="00EC2764" w:rsidP="0029192E">
      <w:pPr>
        <w:pStyle w:val="odstaveca"/>
        <w:numPr>
          <w:ilvl w:val="0"/>
          <w:numId w:val="6"/>
        </w:numPr>
        <w:ind w:left="1247" w:hanging="567"/>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21C4A" w:rsidRPr="003B16F0">
        <w:t xml:space="preserve">, </w:t>
      </w:r>
    </w:p>
    <w:p w14:paraId="365B6509" w14:textId="2D7CC319"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rsidR="009D651A">
        <w:t>8</w:t>
      </w:r>
      <w:r>
        <w:t>.5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0A6A4997"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9D651A">
        <w:t>8</w:t>
      </w:r>
      <w:r>
        <w:t xml:space="preserve">.1 a </w:t>
      </w:r>
      <w:r w:rsidR="009D651A">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2"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2"/>
    </w:p>
    <w:p w14:paraId="47598196" w14:textId="77777777" w:rsidR="00721C4A" w:rsidRDefault="00721C4A" w:rsidP="00721C4A">
      <w:pPr>
        <w:pStyle w:val="Nadpis2"/>
        <w:widowControl w:val="0"/>
      </w:pPr>
      <w:r>
        <w:t>Poskytovatel</w:t>
      </w:r>
      <w:r w:rsidRPr="0073792E">
        <w:t xml:space="preserve"> se </w:t>
      </w:r>
      <w:r>
        <w:t xml:space="preserve">dále </w:t>
      </w:r>
      <w:bookmarkStart w:id="3"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9D651A">
        <w:t>výši 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1E11547F" w14:textId="77777777" w:rsidR="00721C4A" w:rsidRDefault="00721C4A" w:rsidP="00721C4A">
      <w:pPr>
        <w:rPr>
          <w:lang w:eastAsia="cs-CZ"/>
        </w:rPr>
      </w:pPr>
    </w:p>
    <w:p w14:paraId="3342D7D6" w14:textId="77777777" w:rsidR="00721C4A" w:rsidRPr="006B223E" w:rsidRDefault="00721C4A" w:rsidP="00721C4A">
      <w:pPr>
        <w:pStyle w:val="Nadpis1"/>
        <w:rPr>
          <w:rFonts w:eastAsia="Times New Roman"/>
          <w:lang w:eastAsia="cs-CZ"/>
        </w:rPr>
      </w:pPr>
      <w:r w:rsidRPr="006B223E">
        <w:t>Compliance</w:t>
      </w:r>
    </w:p>
    <w:p w14:paraId="265EF114" w14:textId="77777777" w:rsidR="00721C4A" w:rsidRDefault="00721C4A" w:rsidP="00721C4A">
      <w:pPr>
        <w:pStyle w:val="Nadpis2"/>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2" w:history="1">
        <w:r w:rsidRPr="00604869">
          <w:rPr>
            <w:rStyle w:val="Hypertextovodkaz"/>
          </w:rPr>
          <w:t>https://www.spravazeleznic.cz/o-nas/nazadouci-jednani-a-boj-s-korupci</w:t>
        </w:r>
      </w:hyperlink>
      <w:r>
        <w:t>.</w:t>
      </w:r>
    </w:p>
    <w:p w14:paraId="3EE6B1E1" w14:textId="4F29F10F" w:rsidR="00721C4A" w:rsidRPr="00707D4E" w:rsidRDefault="00721C4A" w:rsidP="006B223E">
      <w:pPr>
        <w:pStyle w:val="Nadpis2"/>
      </w:pPr>
      <w:r>
        <w:t>Poskytovatel má výše uvedené dokumenty k dispozici na webových stránkách</w:t>
      </w:r>
      <w:r w:rsidRPr="00707D4E">
        <w:t xml:space="preserve">: </w:t>
      </w:r>
      <w:r w:rsidRPr="00707D4E">
        <w:rPr>
          <w:highlight w:val="yellow"/>
        </w:rPr>
        <w:t>[doplní Poskytovatel x nemá-li Poskytovatel výše uvedené dokumenty, celý bod 10.3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w:t>
      </w:r>
      <w:r w:rsidRPr="00102D47">
        <w:lastRenderedPageBreak/>
        <w:t xml:space="preserve">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3940B4AB" w:rsidR="00A318B6" w:rsidRPr="00A318B6" w:rsidRDefault="00D24836" w:rsidP="009B3775">
      <w:pPr>
        <w:pStyle w:val="Nadpis3"/>
      </w:pPr>
      <w:r>
        <w:t>Poskytovatel</w:t>
      </w:r>
      <w:r w:rsidR="00974FD8" w:rsidRPr="00AC3138">
        <w:t xml:space="preserve"> se zavazuje uhradit smluvní pokutu ve výši 10.000</w:t>
      </w:r>
      <w:r w:rsidR="00974FD8">
        <w:t>,-</w:t>
      </w:r>
      <w:r w:rsidR="00974FD8" w:rsidRPr="00AC3138">
        <w:t xml:space="preserve"> Kč za každý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559CCA1D" w:rsidR="00F3415C" w:rsidRPr="00F3415C" w:rsidRDefault="00F3415C" w:rsidP="00A318B6">
      <w:pPr>
        <w:pStyle w:val="Nadpis2"/>
        <w:spacing w:line="276" w:lineRule="auto"/>
      </w:pPr>
      <w:r w:rsidRPr="00F3415C">
        <w:t xml:space="preserve">Tato smlouva je vyhotovena </w:t>
      </w:r>
      <w:r w:rsidR="009B3775">
        <w:t xml:space="preserve">ve </w:t>
      </w:r>
      <w:r w:rsidR="009B3775" w:rsidRPr="009B3775">
        <w:rPr>
          <w:b/>
          <w:bCs/>
          <w:highlight w:val="yellow"/>
        </w:rPr>
        <w:t>3</w:t>
      </w:r>
      <w:r w:rsidRPr="009B3775">
        <w:rPr>
          <w:highlight w:val="yellow"/>
        </w:rPr>
        <w:t xml:space="preserve"> (</w:t>
      </w:r>
      <w:r w:rsidR="009B3775" w:rsidRPr="009B3775">
        <w:rPr>
          <w:highlight w:val="yellow"/>
        </w:rPr>
        <w:t>třech</w:t>
      </w:r>
      <w:r w:rsidRPr="009B3775">
        <w:rPr>
          <w:highlight w:val="yellow"/>
        </w:rPr>
        <w:t>)</w:t>
      </w:r>
      <w:r w:rsidRPr="00F3415C">
        <w:t xml:space="preserve"> stejnopisech s příslušnými přílohami, které jsou její nedílnou součástí. Každé vyhotovení má platnost originálu. Po podpisu obou smluvních stran objednatel obdrží </w:t>
      </w:r>
      <w:r w:rsidR="009B3775" w:rsidRPr="009B3775">
        <w:rPr>
          <w:b/>
          <w:bCs/>
        </w:rPr>
        <w:t>2</w:t>
      </w:r>
      <w:r w:rsidR="009B3775">
        <w:t xml:space="preserve"> (dvě)</w:t>
      </w:r>
      <w:r w:rsidRPr="00F3415C">
        <w:t xml:space="preserve"> vyhotovení smlouvy a </w:t>
      </w:r>
      <w:r>
        <w:t xml:space="preserve">Poskytovatel </w:t>
      </w:r>
      <w:r w:rsidR="009B3775" w:rsidRPr="009B3775">
        <w:rPr>
          <w:b/>
          <w:bCs/>
          <w:highlight w:val="yellow"/>
        </w:rPr>
        <w:t>1</w:t>
      </w:r>
      <w:r w:rsidR="009B3775" w:rsidRPr="009B3775">
        <w:rPr>
          <w:highlight w:val="yellow"/>
        </w:rPr>
        <w:t xml:space="preserve"> (jedno)</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50EA6B13" w14:textId="6420E753" w:rsidR="004E1498" w:rsidRPr="009B3775" w:rsidRDefault="004E1498" w:rsidP="009B3775">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w:t>
      </w:r>
      <w:r w:rsidRPr="004E1498">
        <w:lastRenderedPageBreak/>
        <w:t>ani povinnosti Smluvním stranám nevznikají.</w:t>
      </w:r>
    </w:p>
    <w:p w14:paraId="0DB923BD" w14:textId="77777777" w:rsidR="00B66E16" w:rsidRPr="009B3775" w:rsidRDefault="00B66E16" w:rsidP="00A318B6">
      <w:pPr>
        <w:pStyle w:val="Nadpis2"/>
        <w:widowControl w:val="0"/>
        <w:spacing w:line="276" w:lineRule="auto"/>
        <w:ind w:left="567" w:hanging="567"/>
      </w:pPr>
      <w:r w:rsidRPr="009B3775">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AE42E7"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AE42E7">
        <w:rPr>
          <w:rFonts w:eastAsia="Times New Roman" w:cs="Times New Roman"/>
          <w:b/>
          <w:lang w:eastAsia="cs-CZ"/>
        </w:rPr>
        <w:t>Přílohy</w:t>
      </w:r>
    </w:p>
    <w:p w14:paraId="28D5F6B0" w14:textId="38DAC4F4" w:rsidR="007F328C" w:rsidRPr="00AE42E7"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E42E7">
        <w:rPr>
          <w:rFonts w:eastAsia="Times New Roman" w:cs="Times New Roman"/>
          <w:lang w:eastAsia="cs-CZ"/>
        </w:rPr>
        <w:t xml:space="preserve">Obchodní podmínky ke Smlouvě o poskytování služeb </w:t>
      </w:r>
    </w:p>
    <w:p w14:paraId="71D944D0" w14:textId="5B7C9D4D" w:rsidR="00B66E16" w:rsidRPr="00AE42E7" w:rsidRDefault="00AE42E7"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E42E7">
        <w:rPr>
          <w:rFonts w:eastAsia="Times New Roman" w:cs="Times New Roman"/>
          <w:highlight w:val="yellow"/>
          <w:lang w:eastAsia="cs-CZ"/>
        </w:rPr>
        <w:t>Seznam poddodavatelů / Neobsazeno</w:t>
      </w:r>
    </w:p>
    <w:p w14:paraId="6C5A111E" w14:textId="32748D42" w:rsidR="00B66E16" w:rsidRPr="00AE42E7"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AE42E7">
        <w:rPr>
          <w:rFonts w:eastAsia="Times New Roman" w:cs="Times New Roman"/>
          <w:highlight w:val="yellow"/>
          <w:lang w:eastAsia="cs-CZ"/>
        </w:rPr>
        <w:t xml:space="preserve">Plná moc (pouze v případě zastoupení </w:t>
      </w:r>
      <w:r w:rsidR="004E7B39" w:rsidRPr="00AE42E7">
        <w:rPr>
          <w:rFonts w:eastAsia="Times New Roman" w:cs="Times New Roman"/>
          <w:highlight w:val="yellow"/>
          <w:lang w:eastAsia="cs-CZ"/>
        </w:rPr>
        <w:t>Poskytovatel</w:t>
      </w:r>
      <w:r w:rsidRPr="00AE42E7">
        <w:rPr>
          <w:rFonts w:eastAsia="Times New Roman" w:cs="Times New Roman"/>
          <w:highlight w:val="yellow"/>
          <w:lang w:eastAsia="cs-CZ"/>
        </w:rPr>
        <w:t>e osobou na základě plné moci)</w:t>
      </w:r>
      <w:r w:rsidR="00AE42E7" w:rsidRPr="00AE42E7">
        <w:rPr>
          <w:rFonts w:eastAsia="Times New Roman" w:cs="Times New Roman"/>
          <w:highlight w:val="yellow"/>
          <w:lang w:eastAsia="cs-CZ"/>
        </w:rPr>
        <w:t xml:space="preserve"> / Neobsazeno</w:t>
      </w:r>
    </w:p>
    <w:p w14:paraId="2B6E8081" w14:textId="4DE88FDD" w:rsidR="007F133A" w:rsidRPr="00AE42E7"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AE42E7">
        <w:rPr>
          <w:rFonts w:asciiTheme="minorHAnsi" w:hAnsiTheme="minorHAnsi"/>
          <w:sz w:val="18"/>
          <w:szCs w:val="18"/>
        </w:rPr>
        <w:t>Opatření pro postup v případě anonymního oznámení o NVS</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1A554EB9" w14:textId="31626E9B" w:rsidR="00D101A7" w:rsidRDefault="00D101A7" w:rsidP="00AE42E7">
      <w:pPr>
        <w:pStyle w:val="Textbezodsazen"/>
        <w:spacing w:line="276" w:lineRule="auto"/>
      </w:pPr>
    </w:p>
    <w:p w14:paraId="0DE3B25E" w14:textId="77777777" w:rsidR="00AE42E7" w:rsidRPr="002507FA" w:rsidRDefault="00AE42E7" w:rsidP="00AE42E7">
      <w:pPr>
        <w:pStyle w:val="acnormalbold"/>
        <w:spacing w:before="480"/>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Praze,</w:t>
      </w:r>
      <w:r w:rsidRPr="002507FA">
        <w:rPr>
          <w:rFonts w:ascii="Verdana" w:hAnsi="Verdana" w:cstheme="minorHAnsi"/>
          <w:b w:val="0"/>
          <w:sz w:val="18"/>
          <w:szCs w:val="18"/>
        </w:rPr>
        <w:t xml:space="preserv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dne…………</w:t>
      </w:r>
    </w:p>
    <w:p w14:paraId="733E8228" w14:textId="77777777" w:rsidR="00AE42E7" w:rsidRPr="002507FA" w:rsidRDefault="00AE42E7" w:rsidP="00AE42E7">
      <w:pPr>
        <w:pStyle w:val="acnormalbold"/>
        <w:tabs>
          <w:tab w:val="left" w:pos="4962"/>
        </w:tabs>
        <w:rPr>
          <w:rFonts w:ascii="Verdana" w:hAnsi="Verdana" w:cstheme="minorHAnsi"/>
          <w:b w:val="0"/>
          <w:sz w:val="18"/>
          <w:szCs w:val="18"/>
        </w:rPr>
      </w:pPr>
      <w:r w:rsidRPr="002507FA">
        <w:rPr>
          <w:rFonts w:ascii="Verdana" w:hAnsi="Verdana" w:cstheme="minorHAnsi"/>
          <w:b w:val="0"/>
          <w:sz w:val="18"/>
          <w:szCs w:val="18"/>
        </w:rPr>
        <w:t xml:space="preserve">               </w:t>
      </w:r>
      <w:r>
        <w:rPr>
          <w:rFonts w:ascii="Verdana" w:hAnsi="Verdana" w:cstheme="minorHAnsi"/>
          <w:b w:val="0"/>
          <w:sz w:val="18"/>
          <w:szCs w:val="18"/>
        </w:rPr>
        <w:tab/>
      </w:r>
      <w:r w:rsidRPr="00BB3F74">
        <w:rPr>
          <w:rFonts w:ascii="Verdana" w:hAnsi="Verdana" w:cstheme="minorHAnsi"/>
          <w:b w:val="0"/>
          <w:sz w:val="18"/>
          <w:szCs w:val="18"/>
          <w:highlight w:val="yellow"/>
        </w:rPr>
        <w:t>"[VLOŽÍ ZHOTOVITEL]"</w:t>
      </w:r>
    </w:p>
    <w:p w14:paraId="401439B5" w14:textId="77777777" w:rsidR="00AE42E7" w:rsidRPr="002507FA" w:rsidRDefault="00AE42E7" w:rsidP="00AE42E7">
      <w:pPr>
        <w:pStyle w:val="acnormalbold"/>
        <w:spacing w:before="0" w:after="0"/>
        <w:rPr>
          <w:rFonts w:ascii="Verdana" w:hAnsi="Verdana" w:cstheme="minorHAnsi"/>
          <w:b w:val="0"/>
          <w:sz w:val="18"/>
          <w:szCs w:val="18"/>
        </w:rPr>
      </w:pPr>
    </w:p>
    <w:p w14:paraId="62F6B449" w14:textId="77777777" w:rsidR="00AE42E7" w:rsidRPr="002507FA" w:rsidRDefault="00AE42E7" w:rsidP="00AE42E7">
      <w:pPr>
        <w:pStyle w:val="acnormalbold"/>
        <w:spacing w:before="0" w:after="0"/>
        <w:rPr>
          <w:rFonts w:ascii="Verdana" w:hAnsi="Verdana" w:cstheme="minorHAnsi"/>
          <w:b w:val="0"/>
          <w:sz w:val="18"/>
          <w:szCs w:val="18"/>
        </w:rPr>
      </w:pPr>
    </w:p>
    <w:p w14:paraId="2D6F4510" w14:textId="77777777" w:rsidR="00AE42E7" w:rsidRPr="002507FA" w:rsidRDefault="00AE42E7" w:rsidP="00AE42E7">
      <w:pPr>
        <w:pStyle w:val="acnormalbold"/>
        <w:spacing w:before="0" w:after="0"/>
        <w:rPr>
          <w:rFonts w:ascii="Verdana" w:hAnsi="Verdana" w:cstheme="minorHAnsi"/>
          <w:b w:val="0"/>
          <w:sz w:val="18"/>
          <w:szCs w:val="18"/>
        </w:rPr>
      </w:pPr>
    </w:p>
    <w:p w14:paraId="20B949E9" w14:textId="77777777" w:rsidR="00AE42E7" w:rsidRPr="002507FA" w:rsidRDefault="00AE42E7" w:rsidP="00AE42E7">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Poskytovatel</w:t>
      </w:r>
      <w:r w:rsidRPr="002507FA">
        <w:rPr>
          <w:rFonts w:ascii="Verdana" w:hAnsi="Verdana" w:cstheme="minorHAnsi"/>
          <w:b w:val="0"/>
          <w:sz w:val="18"/>
          <w:szCs w:val="18"/>
        </w:rPr>
        <w:t xml:space="preserve">:   </w:t>
      </w:r>
    </w:p>
    <w:p w14:paraId="7F5533FA" w14:textId="77777777" w:rsidR="00AE42E7" w:rsidRDefault="00AE42E7" w:rsidP="00AE42E7">
      <w:pPr>
        <w:pStyle w:val="acnormalbold"/>
        <w:spacing w:before="0" w:after="0"/>
        <w:jc w:val="left"/>
        <w:rPr>
          <w:rFonts w:ascii="Verdana" w:hAnsi="Verdana" w:cstheme="minorHAnsi"/>
          <w:sz w:val="18"/>
          <w:szCs w:val="18"/>
        </w:rPr>
      </w:pPr>
    </w:p>
    <w:p w14:paraId="02B7F0D7" w14:textId="77777777" w:rsidR="00AE42E7" w:rsidRDefault="00AE42E7" w:rsidP="00AE42E7">
      <w:pPr>
        <w:pStyle w:val="acnormalbold"/>
        <w:tabs>
          <w:tab w:val="left" w:pos="3630"/>
        </w:tabs>
        <w:spacing w:before="0" w:after="0"/>
        <w:jc w:val="left"/>
        <w:rPr>
          <w:rFonts w:ascii="Verdana" w:hAnsi="Verdana" w:cstheme="minorHAnsi"/>
          <w:sz w:val="18"/>
          <w:szCs w:val="18"/>
        </w:rPr>
      </w:pPr>
      <w:r>
        <w:rPr>
          <w:rFonts w:ascii="Verdana" w:hAnsi="Verdana" w:cstheme="minorHAnsi"/>
          <w:sz w:val="18"/>
          <w:szCs w:val="18"/>
        </w:rPr>
        <w:tab/>
      </w:r>
    </w:p>
    <w:p w14:paraId="659F14B0" w14:textId="77777777" w:rsidR="00AE42E7" w:rsidRPr="00400F20" w:rsidRDefault="00AE42E7" w:rsidP="00AE42E7">
      <w:pPr>
        <w:pStyle w:val="acnormal"/>
      </w:pPr>
    </w:p>
    <w:p w14:paraId="22E980B4" w14:textId="77777777" w:rsidR="00AE42E7" w:rsidRPr="002507FA" w:rsidRDefault="00AE42E7" w:rsidP="00AE42E7">
      <w:pPr>
        <w:pStyle w:val="acnormal"/>
        <w:spacing w:before="0" w:after="0"/>
        <w:rPr>
          <w:rFonts w:ascii="Verdana" w:hAnsi="Verdana" w:cstheme="minorHAnsi"/>
          <w:b/>
          <w:sz w:val="18"/>
          <w:szCs w:val="18"/>
        </w:rPr>
      </w:pPr>
      <w:r w:rsidRPr="002507FA">
        <w:rPr>
          <w:rFonts w:ascii="Verdana" w:hAnsi="Verdana" w:cstheme="minorHAnsi"/>
          <w:b/>
          <w:sz w:val="18"/>
          <w:szCs w:val="18"/>
        </w:rPr>
        <w:tab/>
      </w:r>
      <w:r>
        <w:rPr>
          <w:rFonts w:ascii="Verdana" w:hAnsi="Verdana" w:cstheme="minorHAnsi"/>
          <w:b/>
          <w:sz w:val="18"/>
          <w:szCs w:val="18"/>
        </w:rPr>
        <w:tab/>
      </w:r>
    </w:p>
    <w:p w14:paraId="72FB3EEC" w14:textId="77777777" w:rsidR="00AE42E7" w:rsidRDefault="00AE42E7" w:rsidP="00AE42E7">
      <w:pPr>
        <w:pStyle w:val="acnormal"/>
        <w:spacing w:before="0"/>
        <w:ind w:left="4962" w:hanging="4962"/>
        <w:rPr>
          <w:rFonts w:ascii="Verdana" w:hAnsi="Verdana" w:cstheme="minorHAnsi"/>
          <w:b/>
          <w:sz w:val="18"/>
          <w:szCs w:val="18"/>
        </w:rPr>
      </w:pPr>
      <w:r w:rsidRPr="002507FA">
        <w:rPr>
          <w:rFonts w:ascii="Verdana" w:hAnsi="Verdana" w:cstheme="minorHAnsi"/>
          <w:b/>
          <w:sz w:val="18"/>
          <w:szCs w:val="18"/>
        </w:rPr>
        <w:t>……………………………………</w:t>
      </w:r>
      <w:r>
        <w:rPr>
          <w:rFonts w:ascii="Verdana" w:hAnsi="Verdana" w:cstheme="minorHAnsi"/>
          <w:b/>
          <w:sz w:val="18"/>
          <w:szCs w:val="18"/>
        </w:rPr>
        <w:t xml:space="preserve"> </w:t>
      </w:r>
      <w:r>
        <w:rPr>
          <w:rFonts w:ascii="Verdana" w:hAnsi="Verdana" w:cstheme="minorHAnsi"/>
          <w:b/>
          <w:sz w:val="18"/>
          <w:szCs w:val="18"/>
        </w:rPr>
        <w:tab/>
      </w:r>
      <w:r w:rsidRPr="002507FA">
        <w:rPr>
          <w:rFonts w:ascii="Verdana" w:hAnsi="Verdana" w:cstheme="minorHAnsi"/>
          <w:b/>
          <w:sz w:val="18"/>
          <w:szCs w:val="18"/>
        </w:rPr>
        <w:t>……………………………………</w:t>
      </w:r>
    </w:p>
    <w:p w14:paraId="2BA9D328" w14:textId="77777777" w:rsidR="00AE42E7" w:rsidRPr="002B162B" w:rsidRDefault="00AE42E7" w:rsidP="00AE42E7">
      <w:pPr>
        <w:pStyle w:val="acnormal"/>
        <w:spacing w:before="0" w:after="0"/>
        <w:rPr>
          <w:rFonts w:ascii="Verdana" w:hAnsi="Verdana" w:cstheme="minorHAnsi"/>
          <w:sz w:val="18"/>
          <w:szCs w:val="18"/>
          <w:highlight w:val="yellow"/>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B97E98">
        <w:rPr>
          <w:rFonts w:ascii="Verdana" w:hAnsi="Verdana" w:cstheme="minorHAnsi"/>
          <w:b/>
          <w:sz w:val="18"/>
          <w:szCs w:val="18"/>
          <w:highlight w:val="yellow"/>
        </w:rPr>
        <w:t>Jméno a příjmení podepisující osoby</w:t>
      </w:r>
    </w:p>
    <w:p w14:paraId="2D165CE8" w14:textId="77777777" w:rsidR="00AE42E7" w:rsidRPr="002B162B" w:rsidRDefault="00AE42E7" w:rsidP="00AE42E7">
      <w:pPr>
        <w:pStyle w:val="acnormal"/>
        <w:tabs>
          <w:tab w:val="left" w:pos="4962"/>
        </w:tabs>
        <w:spacing w:before="0" w:after="0"/>
        <w:rPr>
          <w:rFonts w:ascii="Verdana" w:hAnsi="Verdana" w:cstheme="minorHAnsi"/>
          <w:sz w:val="18"/>
          <w:szCs w:val="18"/>
          <w:highlight w:val="yellow"/>
        </w:rPr>
      </w:pPr>
      <w:r w:rsidRPr="00094491">
        <w:rPr>
          <w:rFonts w:ascii="Verdana" w:hAnsi="Verdana" w:cstheme="minorHAnsi"/>
          <w:sz w:val="18"/>
          <w:szCs w:val="18"/>
        </w:rPr>
        <w:t>ředitel Oblastního ředitelství Praha</w:t>
      </w:r>
      <w:r>
        <w:rPr>
          <w:rFonts w:ascii="Verdana" w:hAnsi="Verdana" w:cstheme="minorHAnsi"/>
          <w:sz w:val="18"/>
          <w:szCs w:val="18"/>
        </w:rPr>
        <w:tab/>
      </w:r>
      <w:r w:rsidRPr="00B97E98">
        <w:rPr>
          <w:rFonts w:ascii="Verdana" w:hAnsi="Verdana" w:cstheme="minorHAnsi"/>
          <w:sz w:val="18"/>
          <w:szCs w:val="18"/>
          <w:highlight w:val="yellow"/>
        </w:rPr>
        <w:t>funkce podepisující osoby</w:t>
      </w:r>
    </w:p>
    <w:p w14:paraId="4DF6ECAC" w14:textId="77777777" w:rsidR="00AE42E7" w:rsidRPr="002507FA" w:rsidRDefault="00AE42E7" w:rsidP="00AE42E7">
      <w:pPr>
        <w:pStyle w:val="acnormal"/>
        <w:spacing w:before="0"/>
        <w:ind w:left="4962" w:hanging="4962"/>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r w:rsidRPr="00B97E98">
        <w:rPr>
          <w:rFonts w:ascii="Verdana" w:eastAsia="Verdana" w:hAnsi="Verdana"/>
          <w:sz w:val="18"/>
          <w:szCs w:val="18"/>
          <w:highlight w:val="yellow"/>
        </w:rPr>
        <w:t>název společnosti</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14E26BC3" w14:textId="77777777" w:rsidR="00AE42E7" w:rsidRPr="002507FA" w:rsidRDefault="00AE42E7" w:rsidP="00AE42E7">
      <w:pPr>
        <w:pStyle w:val="acnormalbold"/>
        <w:spacing w:before="0" w:after="0"/>
        <w:rPr>
          <w:rFonts w:ascii="Verdana" w:hAnsi="Verdana" w:cstheme="minorHAnsi"/>
          <w:b w:val="0"/>
          <w:sz w:val="18"/>
          <w:szCs w:val="18"/>
        </w:rPr>
      </w:pPr>
    </w:p>
    <w:p w14:paraId="4D4CD32F" w14:textId="77777777" w:rsidR="00AE42E7" w:rsidRDefault="00AE42E7" w:rsidP="00AE42E7">
      <w:pPr>
        <w:pStyle w:val="acnormalbold"/>
        <w:spacing w:before="0" w:after="0"/>
        <w:rPr>
          <w:rFonts w:ascii="Verdana" w:hAnsi="Verdana" w:cstheme="minorHAnsi"/>
          <w:b w:val="0"/>
          <w:sz w:val="18"/>
          <w:szCs w:val="18"/>
        </w:rPr>
      </w:pPr>
    </w:p>
    <w:p w14:paraId="174E8685" w14:textId="77777777" w:rsidR="00AE42E7" w:rsidRDefault="00AE42E7" w:rsidP="00AE42E7">
      <w:pPr>
        <w:pStyle w:val="acnormal"/>
      </w:pPr>
    </w:p>
    <w:p w14:paraId="3A8B6AFE" w14:textId="77777777" w:rsidR="00AE42E7" w:rsidRDefault="00AE42E7" w:rsidP="00AE42E7">
      <w:pPr>
        <w:pStyle w:val="acnormal"/>
        <w:rPr>
          <w:rFonts w:ascii="Verdana" w:hAnsi="Verdana" w:cstheme="minorHAnsi"/>
          <w:sz w:val="18"/>
          <w:szCs w:val="18"/>
        </w:rPr>
      </w:pPr>
    </w:p>
    <w:p w14:paraId="1194617A" w14:textId="77777777" w:rsidR="00AE42E7" w:rsidRDefault="00AE42E7" w:rsidP="00AE42E7">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046C3893" w14:textId="77777777" w:rsidR="00AE42E7" w:rsidRPr="006B223E" w:rsidRDefault="00AE42E7" w:rsidP="00AE42E7">
      <w:pPr>
        <w:pStyle w:val="Odstavecseseznamem"/>
        <w:widowControl w:val="0"/>
        <w:spacing w:after="0" w:line="276" w:lineRule="auto"/>
        <w:ind w:hanging="436"/>
        <w:jc w:val="both"/>
      </w:pPr>
    </w:p>
    <w:p w14:paraId="574C8A15" w14:textId="77777777" w:rsidR="00AE42E7" w:rsidRPr="006B223E" w:rsidRDefault="00AE42E7" w:rsidP="00AE42E7">
      <w:pPr>
        <w:pStyle w:val="Textbezodsazen"/>
        <w:spacing w:line="276" w:lineRule="auto"/>
      </w:pPr>
    </w:p>
    <w:sectPr w:rsidR="00AE42E7" w:rsidRPr="006B223E" w:rsidSect="007D386F">
      <w:headerReference w:type="even" r:id="rId1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4CB3" w14:textId="77777777" w:rsidR="004479D3" w:rsidRDefault="004479D3" w:rsidP="00962258">
      <w:pPr>
        <w:spacing w:after="0" w:line="240" w:lineRule="auto"/>
      </w:pPr>
      <w:r>
        <w:separator/>
      </w:r>
    </w:p>
  </w:endnote>
  <w:endnote w:type="continuationSeparator" w:id="0">
    <w:p w14:paraId="6312F4F0" w14:textId="77777777" w:rsidR="004479D3" w:rsidRDefault="00447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FEE8" w14:textId="77777777" w:rsidR="004479D3" w:rsidRDefault="004479D3" w:rsidP="00962258">
      <w:pPr>
        <w:spacing w:after="0" w:line="240" w:lineRule="auto"/>
      </w:pPr>
      <w:r>
        <w:separator/>
      </w:r>
    </w:p>
  </w:footnote>
  <w:footnote w:type="continuationSeparator" w:id="0">
    <w:p w14:paraId="2F65B3A8" w14:textId="77777777" w:rsidR="004479D3" w:rsidRDefault="004479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E9AC6" w14:textId="075D6AC7" w:rsidR="007C4E29" w:rsidRDefault="007C4E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D537FDE"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643917D0"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37305D9"/>
    <w:multiLevelType w:val="hybridMultilevel"/>
    <w:tmpl w:val="6BA2ADCA"/>
    <w:lvl w:ilvl="0" w:tplc="D4A8E7E6">
      <w:start w:val="18"/>
      <w:numFmt w:val="bullet"/>
      <w:lvlText w:val="-"/>
      <w:lvlJc w:val="left"/>
      <w:pPr>
        <w:ind w:left="720" w:hanging="360"/>
      </w:pPr>
      <w:rPr>
        <w:rFonts w:ascii="Verdana" w:eastAsiaTheme="minorHAnsi" w:hAnsi="Verdana" w:cs="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B624A6D"/>
    <w:multiLevelType w:val="hybridMultilevel"/>
    <w:tmpl w:val="013A6644"/>
    <w:lvl w:ilvl="0" w:tplc="1C3ED536">
      <w:start w:val="1"/>
      <w:numFmt w:val="decimal"/>
      <w:lvlText w:val="Příloha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16cid:durableId="1160191320">
    <w:abstractNumId w:val="3"/>
  </w:num>
  <w:num w:numId="2" w16cid:durableId="158084916">
    <w:abstractNumId w:val="1"/>
  </w:num>
  <w:num w:numId="3" w16cid:durableId="888541267">
    <w:abstractNumId w:val="4"/>
  </w:num>
  <w:num w:numId="4" w16cid:durableId="1823228583">
    <w:abstractNumId w:val="11"/>
  </w:num>
  <w:num w:numId="5" w16cid:durableId="349260742">
    <w:abstractNumId w:val="5"/>
  </w:num>
  <w:num w:numId="6" w16cid:durableId="723676089">
    <w:abstractNumId w:val="2"/>
  </w:num>
  <w:num w:numId="7" w16cid:durableId="2058312771">
    <w:abstractNumId w:val="10"/>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9"/>
  </w:num>
  <w:num w:numId="13" w16cid:durableId="168450410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3486"/>
    <w:rsid w:val="0003023D"/>
    <w:rsid w:val="00040B7E"/>
    <w:rsid w:val="000612CF"/>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27FAB"/>
    <w:rsid w:val="0013379C"/>
    <w:rsid w:val="001550BC"/>
    <w:rsid w:val="001605B9"/>
    <w:rsid w:val="00170EC5"/>
    <w:rsid w:val="001747C1"/>
    <w:rsid w:val="0018287F"/>
    <w:rsid w:val="00184743"/>
    <w:rsid w:val="001F32C9"/>
    <w:rsid w:val="001F7617"/>
    <w:rsid w:val="00207DF5"/>
    <w:rsid w:val="00280E07"/>
    <w:rsid w:val="0029192E"/>
    <w:rsid w:val="002A6874"/>
    <w:rsid w:val="002C31BF"/>
    <w:rsid w:val="002D08B1"/>
    <w:rsid w:val="002D65B2"/>
    <w:rsid w:val="002E0CD7"/>
    <w:rsid w:val="002E3482"/>
    <w:rsid w:val="002F4B54"/>
    <w:rsid w:val="00300080"/>
    <w:rsid w:val="003013FA"/>
    <w:rsid w:val="003071BD"/>
    <w:rsid w:val="00321172"/>
    <w:rsid w:val="00322C79"/>
    <w:rsid w:val="00341DCF"/>
    <w:rsid w:val="003452CE"/>
    <w:rsid w:val="003557CB"/>
    <w:rsid w:val="00357BC6"/>
    <w:rsid w:val="00364455"/>
    <w:rsid w:val="003956C6"/>
    <w:rsid w:val="003A4D59"/>
    <w:rsid w:val="003B39EC"/>
    <w:rsid w:val="003C5291"/>
    <w:rsid w:val="003D12BD"/>
    <w:rsid w:val="003D703A"/>
    <w:rsid w:val="003E082D"/>
    <w:rsid w:val="003F20D8"/>
    <w:rsid w:val="00441430"/>
    <w:rsid w:val="004479D3"/>
    <w:rsid w:val="00450F07"/>
    <w:rsid w:val="00453CD3"/>
    <w:rsid w:val="00460660"/>
    <w:rsid w:val="00477FCC"/>
    <w:rsid w:val="004860FC"/>
    <w:rsid w:val="00486107"/>
    <w:rsid w:val="00490CF1"/>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11AB9"/>
    <w:rsid w:val="00522467"/>
    <w:rsid w:val="00523EA7"/>
    <w:rsid w:val="00527421"/>
    <w:rsid w:val="00537B7A"/>
    <w:rsid w:val="00553375"/>
    <w:rsid w:val="00553F16"/>
    <w:rsid w:val="00556D90"/>
    <w:rsid w:val="005736B7"/>
    <w:rsid w:val="00575E5A"/>
    <w:rsid w:val="00592757"/>
    <w:rsid w:val="00597E84"/>
    <w:rsid w:val="005B76DD"/>
    <w:rsid w:val="005D5624"/>
    <w:rsid w:val="005E7A24"/>
    <w:rsid w:val="005F1404"/>
    <w:rsid w:val="0060520C"/>
    <w:rsid w:val="006062BA"/>
    <w:rsid w:val="006062F9"/>
    <w:rsid w:val="0061068E"/>
    <w:rsid w:val="006177E1"/>
    <w:rsid w:val="0063498E"/>
    <w:rsid w:val="00652A2B"/>
    <w:rsid w:val="00660AD3"/>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07D4E"/>
    <w:rsid w:val="00710723"/>
    <w:rsid w:val="00716B2A"/>
    <w:rsid w:val="00721C4A"/>
    <w:rsid w:val="00723ED1"/>
    <w:rsid w:val="00743525"/>
    <w:rsid w:val="00744CF6"/>
    <w:rsid w:val="0074715A"/>
    <w:rsid w:val="007510DD"/>
    <w:rsid w:val="00752A6A"/>
    <w:rsid w:val="0076286B"/>
    <w:rsid w:val="00766846"/>
    <w:rsid w:val="0077673A"/>
    <w:rsid w:val="007846E1"/>
    <w:rsid w:val="007A0C04"/>
    <w:rsid w:val="007A27FA"/>
    <w:rsid w:val="007B570C"/>
    <w:rsid w:val="007C4E29"/>
    <w:rsid w:val="007C589B"/>
    <w:rsid w:val="007D386F"/>
    <w:rsid w:val="007E4A6E"/>
    <w:rsid w:val="007F133A"/>
    <w:rsid w:val="007F328C"/>
    <w:rsid w:val="007F3523"/>
    <w:rsid w:val="007F56A7"/>
    <w:rsid w:val="00807DD0"/>
    <w:rsid w:val="00810E9B"/>
    <w:rsid w:val="008124E5"/>
    <w:rsid w:val="0086114C"/>
    <w:rsid w:val="008659F3"/>
    <w:rsid w:val="008819E9"/>
    <w:rsid w:val="00886D4B"/>
    <w:rsid w:val="00895406"/>
    <w:rsid w:val="00896CDE"/>
    <w:rsid w:val="008A3568"/>
    <w:rsid w:val="008B24C9"/>
    <w:rsid w:val="008D03B9"/>
    <w:rsid w:val="008E1E86"/>
    <w:rsid w:val="008F18D6"/>
    <w:rsid w:val="008F3BC6"/>
    <w:rsid w:val="008F3EC4"/>
    <w:rsid w:val="008F7DFE"/>
    <w:rsid w:val="00904780"/>
    <w:rsid w:val="00922385"/>
    <w:rsid w:val="009223DF"/>
    <w:rsid w:val="00926913"/>
    <w:rsid w:val="00936091"/>
    <w:rsid w:val="00940D8A"/>
    <w:rsid w:val="009438E4"/>
    <w:rsid w:val="00950C1F"/>
    <w:rsid w:val="0095177F"/>
    <w:rsid w:val="00962258"/>
    <w:rsid w:val="009678B7"/>
    <w:rsid w:val="00974FD8"/>
    <w:rsid w:val="009833E1"/>
    <w:rsid w:val="00992D9C"/>
    <w:rsid w:val="009945D6"/>
    <w:rsid w:val="00994BEA"/>
    <w:rsid w:val="00996155"/>
    <w:rsid w:val="00996CB8"/>
    <w:rsid w:val="009A0078"/>
    <w:rsid w:val="009A396A"/>
    <w:rsid w:val="009A47BA"/>
    <w:rsid w:val="009B14A9"/>
    <w:rsid w:val="009B2E97"/>
    <w:rsid w:val="009B3775"/>
    <w:rsid w:val="009B37FD"/>
    <w:rsid w:val="009C651E"/>
    <w:rsid w:val="009D3556"/>
    <w:rsid w:val="009D651A"/>
    <w:rsid w:val="009E07F4"/>
    <w:rsid w:val="009F392E"/>
    <w:rsid w:val="00A02EE7"/>
    <w:rsid w:val="00A0719E"/>
    <w:rsid w:val="00A07644"/>
    <w:rsid w:val="00A318B6"/>
    <w:rsid w:val="00A52B36"/>
    <w:rsid w:val="00A6177B"/>
    <w:rsid w:val="00A63FD5"/>
    <w:rsid w:val="00A66136"/>
    <w:rsid w:val="00A6738F"/>
    <w:rsid w:val="00AA4CBB"/>
    <w:rsid w:val="00AA65FA"/>
    <w:rsid w:val="00AA6E01"/>
    <w:rsid w:val="00AA7351"/>
    <w:rsid w:val="00AB241E"/>
    <w:rsid w:val="00AB53C9"/>
    <w:rsid w:val="00AB6759"/>
    <w:rsid w:val="00AD056F"/>
    <w:rsid w:val="00AD6731"/>
    <w:rsid w:val="00AE42E7"/>
    <w:rsid w:val="00AE74AE"/>
    <w:rsid w:val="00B12F7F"/>
    <w:rsid w:val="00B15D0D"/>
    <w:rsid w:val="00B34A8A"/>
    <w:rsid w:val="00B354A6"/>
    <w:rsid w:val="00B54C16"/>
    <w:rsid w:val="00B56E19"/>
    <w:rsid w:val="00B570D1"/>
    <w:rsid w:val="00B66E16"/>
    <w:rsid w:val="00B7377C"/>
    <w:rsid w:val="00B75DAD"/>
    <w:rsid w:val="00B75EE1"/>
    <w:rsid w:val="00B77481"/>
    <w:rsid w:val="00B8518B"/>
    <w:rsid w:val="00B867AD"/>
    <w:rsid w:val="00BB184D"/>
    <w:rsid w:val="00BB202D"/>
    <w:rsid w:val="00BC3B69"/>
    <w:rsid w:val="00BD7E91"/>
    <w:rsid w:val="00BF5E64"/>
    <w:rsid w:val="00C02D0A"/>
    <w:rsid w:val="00C03A6E"/>
    <w:rsid w:val="00C25494"/>
    <w:rsid w:val="00C44F6A"/>
    <w:rsid w:val="00C47AE3"/>
    <w:rsid w:val="00C50A9C"/>
    <w:rsid w:val="00C61E20"/>
    <w:rsid w:val="00C916C5"/>
    <w:rsid w:val="00CD1FC4"/>
    <w:rsid w:val="00CE287A"/>
    <w:rsid w:val="00CE6A86"/>
    <w:rsid w:val="00CF484D"/>
    <w:rsid w:val="00D07EFE"/>
    <w:rsid w:val="00D101A7"/>
    <w:rsid w:val="00D21061"/>
    <w:rsid w:val="00D24836"/>
    <w:rsid w:val="00D4108E"/>
    <w:rsid w:val="00D45DE0"/>
    <w:rsid w:val="00D6163D"/>
    <w:rsid w:val="00D61CD5"/>
    <w:rsid w:val="00D831A3"/>
    <w:rsid w:val="00D85C5B"/>
    <w:rsid w:val="00DB295F"/>
    <w:rsid w:val="00DC75F3"/>
    <w:rsid w:val="00DD23FB"/>
    <w:rsid w:val="00DD46C0"/>
    <w:rsid w:val="00DD46F3"/>
    <w:rsid w:val="00DE1EBF"/>
    <w:rsid w:val="00DE56F2"/>
    <w:rsid w:val="00DE6A6E"/>
    <w:rsid w:val="00DF116D"/>
    <w:rsid w:val="00DF12E7"/>
    <w:rsid w:val="00E174B0"/>
    <w:rsid w:val="00E2730E"/>
    <w:rsid w:val="00E61A00"/>
    <w:rsid w:val="00E64568"/>
    <w:rsid w:val="00E64E22"/>
    <w:rsid w:val="00E718BC"/>
    <w:rsid w:val="00E73DA0"/>
    <w:rsid w:val="00E85E32"/>
    <w:rsid w:val="00EB104F"/>
    <w:rsid w:val="00EC2764"/>
    <w:rsid w:val="00EC4A73"/>
    <w:rsid w:val="00ED14BD"/>
    <w:rsid w:val="00EF1804"/>
    <w:rsid w:val="00F0533E"/>
    <w:rsid w:val="00F076A0"/>
    <w:rsid w:val="00F1048D"/>
    <w:rsid w:val="00F12DEC"/>
    <w:rsid w:val="00F1715C"/>
    <w:rsid w:val="00F310F8"/>
    <w:rsid w:val="00F3415C"/>
    <w:rsid w:val="00F35939"/>
    <w:rsid w:val="00F45607"/>
    <w:rsid w:val="00F560BC"/>
    <w:rsid w:val="00F659EB"/>
    <w:rsid w:val="00F65C01"/>
    <w:rsid w:val="00F71A81"/>
    <w:rsid w:val="00F81B99"/>
    <w:rsid w:val="00F86BA6"/>
    <w:rsid w:val="00F94ADB"/>
    <w:rsid w:val="00F960D0"/>
    <w:rsid w:val="00F969C4"/>
    <w:rsid w:val="00FC6389"/>
    <w:rsid w:val="00FF435F"/>
    <w:rsid w:val="00FF68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paragraph" w:customStyle="1" w:styleId="acnormal">
    <w:name w:val="ac_normal"/>
    <w:basedOn w:val="Normln"/>
    <w:link w:val="acnormalChar"/>
    <w:uiPriority w:val="99"/>
    <w:qFormat/>
    <w:rsid w:val="00AE42E7"/>
    <w:pPr>
      <w:spacing w:before="120" w:after="120" w:line="276" w:lineRule="auto"/>
      <w:jc w:val="both"/>
    </w:pPr>
    <w:rPr>
      <w:rFonts w:ascii="Calibri" w:eastAsia="Calibri" w:hAnsi="Calibri" w:cs="Times New Roman"/>
      <w:sz w:val="16"/>
      <w:szCs w:val="22"/>
    </w:rPr>
  </w:style>
  <w:style w:type="paragraph" w:customStyle="1" w:styleId="acnormalbold">
    <w:name w:val="ac_normal_bold"/>
    <w:basedOn w:val="acnormal"/>
    <w:next w:val="acnormal"/>
    <w:qFormat/>
    <w:rsid w:val="00AE42E7"/>
    <w:rPr>
      <w:b/>
    </w:rPr>
  </w:style>
  <w:style w:type="character" w:customStyle="1" w:styleId="acnormalChar">
    <w:name w:val="ac_normal Char"/>
    <w:basedOn w:val="Standardnpsmoodstavce"/>
    <w:link w:val="acnormal"/>
    <w:uiPriority w:val="99"/>
    <w:rsid w:val="00AE42E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chy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326</TotalTime>
  <Pages>6</Pages>
  <Words>2498</Words>
  <Characters>14740</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26</cp:revision>
  <cp:lastPrinted>2017-11-28T17:18:00Z</cp:lastPrinted>
  <dcterms:created xsi:type="dcterms:W3CDTF">2024-08-19T06:04:00Z</dcterms:created>
  <dcterms:modified xsi:type="dcterms:W3CDTF">2025-08-20T07:36:00Z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